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VT-ID262829 (Brandenburg) — Werbung, Sponsoring und Teleshopping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Werbung, Produktplatzierung, Teleshopping, Sponsoring, Gewinnspiele und Eigenwerbung gelten die Vorschriften des Medienstaatsvertrages, des Glücksspielstaatsvertrages und des Jugendmedienschutz-Staatsvertrages.</w:t>
      </w:r>
    </w:p>
    <w:p>
      <w:r>
        <w:t xml:space="preserve">(2) Auf Rundfunkprogramme nach § 2 Nummer 1 bis 3 finden §§ 9 Absatz 3 und 70 Absatz 1 des Medienstaatsvertrages keine Anwendung.</w:t>
      </w:r>
    </w:p>
    <w:p>
      <w:r>
        <w:t xml:space="preserve">(3) Werbung, Teleshopping und Sponsoring sind im nichtkommerziellen lokalen Hörfunk unzulässig.</w:t>
      </w:r>
    </w:p>
    <w:p>
      <w:r>
        <w:rPr>
          <w:color w:val="555555"/>
          <w:sz w:val="17"/>
        </w:rPr>
        <w:t xml:space="preserve">Zitiervorschlag: § 9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