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VT-ID262829 (Brandenburg) — Programmgrundsätze, Sorgfaltspflichten und Barrierefreiheit</w:t>
      </w:r>
    </w:p>
    <w:p>
      <w:r>
        <w:rPr>
          <w:color w:val="555555"/>
          <w:sz w:val="18"/>
        </w:rPr>
        <w:t xml:space="preserve">Staatsvertrag über private Medien in Berlin und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Für die Rundfunkprogramme nach § 2 Nummer 1 bis 3 einschließlich der in offenen Kanälen ausgestrahlten Beiträge gelten die §§ 6 und 51 des Medienstaatsvertrages. Sie sollen die Zusammengehörigkeit im vereinten Berlin und in der Region Berlin-Brandenburg fördern.</w:t>
      </w:r>
    </w:p>
    <w:p>
      <w:r>
        <w:t xml:space="preserve">(2) Für Veranstalter von Rundfunkprogrammen nach § 2 Nummer 1 bis 3 gilt § 7 Absatz 1 des Medienstaatsvertrages entsprechend.</w:t>
      </w:r>
    </w:p>
    <w:p>
      <w:r>
        <w:rPr>
          <w:color w:val="555555"/>
          <w:sz w:val="17"/>
        </w:rPr>
        <w:t xml:space="preserve">Zitiervorschlag: § 7 VT-ID262829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https://recht.nulegal.eu/gesetze/VT-ID262829/7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