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VT-ID262829 (Brandenburg) — Inkrafttreten und Außerkrafttreten</w:t>
      </w:r>
    </w:p>
    <w:p>
      <w:r>
        <w:rPr>
          <w:color w:val="555555"/>
          <w:sz w:val="18"/>
        </w:rPr>
        <w:t xml:space="preserve">Staatsvertrag über private Medien in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Dieser Staatsvertrag tritt am ersten Tag des auf den Austausch der Ratifikationsurkunden folgenden Kalendermonats in Kraft.</w:t>
      </w:r>
    </w:p>
    <w:p>
      <w:r>
        <w:t xml:space="preserve">(2) Mit Inkrafttreten dieses Staatsvertrages tritt der Staatsvertrag über die Zusammenarbeit zwischen Berlin und Brandenburg im Bereich des Rundfunks vom 29. Februar 1992 (GVBl. Berlin 1992, S. 150; GVBl. Brandenburg 1992 I, S. 142) in der Fassung des Siebten Staatsvertrages zur Änderung des Staatsvertrages über die Zusammenarbeit zwischen Berlin und Brandenburg im Bereich der Medien vom 6. Juni/13. Juni 2023 (GVBl. Berlin 2023, S. 351; GVBl. Brandenburg 2023 I Nr. 24, S. 1) außer Kraft.</w:t>
      </w:r>
    </w:p>
    <w:p>
      <w:r>
        <w:t xml:space="preserve">Für das Land Berlin:</w:t>
      </w:r>
    </w:p>
    <w:p>
      <w:r>
        <w:t xml:space="preserve">Berlin, den 13. März 2026 Kai Wegner</w:t>
      </w:r>
    </w:p>
    <w:p>
      <w:r>
        <w:t xml:space="preserve">Für das Land Brandenburg:</w:t>
      </w:r>
    </w:p>
    <w:p>
      <w:r>
        <w:t xml:space="preserve">Potsdam, den 3.3.26 Dietmar Woidke</w:t>
      </w:r>
    </w:p>
    <w:p>
      <w:r>
        <w:t xml:space="preserve">zum Gesetz</w:t>
      </w:r>
    </w:p>
    <w:p>
      <w:r>
        <w:rPr>
          <w:color w:val="555555"/>
          <w:sz w:val="17"/>
        </w:rPr>
        <w:t xml:space="preserve">Zitiervorschlag: § 59 VT-ID262829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https://recht.nulegal.eu/gesetze/VT-ID262829/59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