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VT-ID262829 (Brandenburg) — Zuweisung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Übertragungskapazitäten gemäß § 3 Absatz 2 und § 4 dem öffentlich-rechtlichen Rundfunk zugeordnet wurden, werden diese von der Medienanstalt unmittelbar zugewiesen.</w:t>
      </w:r>
    </w:p>
    <w:p>
      <w:r>
        <w:t xml:space="preserve">(2) Soweit Übertragungskapazitäten gemäß § 3 Absatz 2 und § 4 privaten Anbietern zugeordnet wurden, werden diese von der Medienanstalt nach den Vorschriften des Dritten Abschnitts zugewiesen.</w:t>
      </w:r>
    </w:p>
    <w:p>
      <w:r>
        <w:rPr>
          <w:color w:val="555555"/>
          <w:sz w:val="17"/>
        </w:rPr>
        <w:t xml:space="preserve">Zitiervorschlag: § 5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