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VT-ID262829 (Brandenburg) — Zuordnungsverfahren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Medienanstalt stellt den Bestand der im Geltungsbereich dieses Staatsvertrages verfügbaren oder künftig verfügbar werdenden Übertragungskapazitäten für die jeweilige Programm- oder Nutzungsart durch Beschluss fest, bei erstmals für Rundfunkzwecke erschlossenen Übertragungskapazitäten nach Anhörung der nach Bundesrecht für die Frequenzverwaltung zuständigen Stelle. Der Beschluss ist zu veröffentlichen.</w:t>
      </w:r>
    </w:p>
    <w:p>
      <w:r>
        <w:t xml:space="preserve">(2) Für die Zuordnung bundesweiter und länderübergreifender Versorgungsbedarfe gilt § 101 des Medienstaatsvertrages. Die Medienanstalt unterstützt die vertragschließenden Länder bei Vorbereitungen der Entscheidungen nach § 101 Absatz 1 und 2 des Medienstaatsvertrages.</w:t>
      </w:r>
    </w:p>
    <w:p>
      <w:r>
        <w:t xml:space="preserve">(3) Die Medienanstalt gibt den potenziellen antragstellenden Personen sowie auf Dauer angelegten, nichtrechtsfähigen Personenvereinigungen nach § 20 Absatz 1 freie Übertragungskapazitäten bekannt und gibt eine Ausschlussfrist für die Antragsstellung an. Antragsberechtigt sind öffentlich-rechtliche Rundfunkanstalten und private Anbieter. Die Anträge sind zu begründen. Öffentlich-rechtliche Rundfunkanstalten haben in dem Antrag auch anzugeben, für welche Programme oder sonstige Angebote sie die Übertragungskapazitäten nutzen werden.</w:t>
      </w:r>
    </w:p>
    <w:p>
      <w:r>
        <w:t xml:space="preserve">(4) Reichen die Übertragungskapazitäten für den geltend gemachten Bedarf aus, sind diese entsprechend zuzuordnen.</w:t>
      </w:r>
    </w:p>
    <w:p>
      <w:r>
        <w:t xml:space="preserve">(5) Reichen die Übertragungskapazitäten für den geltend gemachten Bedarf nicht aus, wirkt die Medienanstalt auf eine Verständigung zwischen den Beteiligten hin.</w:t>
      </w:r>
    </w:p>
    <w:p>
      <w:r>
        <w:t xml:space="preserve">(6) Kommt eine Verständigung zwischen den Beteiligten nicht zustande, entscheidet die Medienanstalt auf der Grundlage der Regelungen des § 3 Absatz 2 bis 4.</w:t>
      </w:r>
    </w:p>
    <w:p>
      <w:r>
        <w:rPr>
          <w:color w:val="555555"/>
          <w:sz w:val="17"/>
        </w:rPr>
        <w:t xml:space="preserve">Zitiervorschlag: § 4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