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VT-ID262829 (Brandenburg) — Belegung von Plattformen</w:t>
      </w:r>
    </w:p>
    <w:p>
      <w:r>
        <w:rPr>
          <w:color w:val="555555"/>
          <w:sz w:val="18"/>
        </w:rPr>
        <w:t xml:space="preserve">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Vorschriften des Medienstaatsvertrages zur Verbreitung von Rundfunk oder Telemedien auf digitalen Plattformen bleiben unberührt.</w:t>
      </w:r>
    </w:p>
    <w:p>
      <w:r>
        <w:t xml:space="preserve">(2) § 81 Absatz 4 Nummer 2 des Medienstaatsvertrages gilt entsprechend bei Zuordnungs- und Zuweisungsentscheidungen nach diesem Staatsvertrag.</w:t>
      </w:r>
    </w:p>
    <w:p>
      <w:r>
        <w:rPr>
          <w:color w:val="555555"/>
          <w:sz w:val="17"/>
        </w:rPr>
        <w:t xml:space="preserve">Zitiervorschlag: § 31 VT-ID262829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https://recht.nulegal.eu/gesetze/VT-ID262829/31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