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VT-ID262829 (Brandenburg) — Zulässigkeit der Weiterverbreitung von Rundfunk oder vergleichbaren Telemedien in Kabelanlagen</w:t>
      </w:r>
    </w:p>
    <w:p>
      <w:r>
        <w:rPr>
          <w:color w:val="555555"/>
          <w:sz w:val="18"/>
        </w:rPr>
        <w:t xml:space="preserve">Staatsvertrag über private Medien in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Weiterverbreitung von außerhalb des Geltungsbereichs dieses Staatsvertrages veranstalteten Rundfunkprogrammen und Telemedien in Kabelanlagen gilt § 103 des Medienstaatsvertrages entsprechend.</w:t>
      </w:r>
    </w:p>
    <w:p>
      <w:r>
        <w:rPr>
          <w:color w:val="555555"/>
          <w:sz w:val="17"/>
        </w:rPr>
        <w:t xml:space="preserve">Zitiervorschlag: § 30 VT-ID262829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https://recht.nulegal.eu/gesetze/VT-ID262829/30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