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24 VT-ID262829 (Brandenburg) — Zuweisung drahtloser Übertragungskapazitäten</w:t>
      </w:r>
    </w:p>
    <w:p>
      <w:r>
        <w:rPr>
          <w:color w:val="555555"/>
          <w:sz w:val="18"/>
        </w:rPr>
        <w:t xml:space="preserve">Staatsvertrag über private Medien in Berlin und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Für die Zuweisung drahtloser bundesweiter Übertragungskapazitäten gilt § 102 des Medienstaatsvertrages.</w:t>
      </w:r>
    </w:p>
    <w:p>
      <w:r>
        <w:t xml:space="preserve">(2) Für die Zuweisung drahtloser landesweiter Übertragungskapazitäten gelten die §§ 25 bis 28. Die Zuweisung von Übertragungskapazitäten zur Verbreitung von Rundfunkprogrammen setzt eine Zulassung als Rundfunkveranstalter für das Verbreitungsgebiet voraus.</w:t>
      </w:r>
    </w:p>
    <w:p>
      <w:r>
        <w:t xml:space="preserve">(3) Veranstaltungs-, Grundstücks- und Einrichtungsrundfunk ist zulassungs- und zuweisungsfrei. Die Medienanstalt bestätigt auf Antrag die medienrechtliche Unbedenklichkeit.</w:t>
      </w:r>
    </w:p>
    <w:p>
      <w:r>
        <w:rPr>
          <w:color w:val="555555"/>
          <w:sz w:val="17"/>
        </w:rPr>
        <w:t xml:space="preserve">Zitiervorschlag: § 24 VT-ID262829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https://recht.nulegal.eu/gesetze/VT-ID262829/24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