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VT-ID262829 (Brandenburg) — Zulassungserfordernis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im Geltungsbereich dieses Staatsvertrages privaten Rundfunk veranstalten will, bedarf einer Zulassung. Außerhalb des Geltungsbereichs des Staatsvertrages veranstaltete Rundfunkprogramme werden in seinem Geltungsbereich über Kabel nach Maßgabe des § 30 weiterverbreitet.</w:t>
      </w:r>
    </w:p>
    <w:p>
      <w:r>
        <w:t xml:space="preserve">(2) Keiner Zulassung bedürfen Rundfunkprogramme,</w:t>
      </w:r>
    </w:p>
    <w:p>
      <w:r>
        <w:t xml:space="preserve">die nur geringe Bedeutung für die individuelle und öffentliche Meinungsbildung entfalten oder</w:t>
      </w:r>
    </w:p>
    <w:p>
      <w:r>
        <w:t xml:space="preserve">die im Durchschnitt von sechs Monaten weniger als 20 000 gleichzeitige Nutzende erreichen oder in ihrer prognostizierten Entwicklung erreichen werden.</w:t>
      </w:r>
    </w:p>
    <w:p>
      <w:r>
        <w:t xml:space="preserve">Die Medienanstalt bestätigt die Zulassungsfreiheit auf Antrag durch Unbedenklichkeitsbescheinigung. Die gemeinsame Satzung Zulassungsfreiheit der Landesmedienanstalten nach § 54 Absatz 2 und 4 des Medienstaatsvertrages finden entsprechende Anwendung. Zulassungsfreie Programme im Sinne dieses Staatsvertrages gelten als zugelassene Programme im Sinne von § 81 des Medienstaatsvertrages.</w:t>
      </w:r>
    </w:p>
    <w:p>
      <w:r>
        <w:rPr>
          <w:color w:val="555555"/>
          <w:sz w:val="17"/>
        </w:rPr>
        <w:t xml:space="preserve">Zitiervorschlag: § 18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