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VT-ID262829 (Brandenburg) — Digitalisierung der terrestrischen Übertragungskapazitäten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terrestrische Übertragung von Rundfunk in Berlin und Brandenburg in digitaler Technik ist anzustreben. Die Medienanstalt unterstützt und begleitet die Umstellung der analog-terrestrischen auf die digital-terrestrische Hörfunkverbreitung. Sie koordiniert die Interessen der Veranstalter und wirkt auf sachgerechte Lösungen hin.</w:t>
      </w:r>
    </w:p>
    <w:p>
      <w:r>
        <w:t xml:space="preserve">(2) Die Medienanstalt kann</w:t>
      </w:r>
    </w:p>
    <w:p>
      <w:r>
        <w:t xml:space="preserve">bis zur Einstellung der analog-terrestrischen Hörfunkverbreitung die Zuweisung von analogen Übertragungskapazitäten davon abhängig machen, dass Hörfunkprogramme gleichzeitig in digitaler Übertragungstechnik terrestrisch verbreitet werden (Simulcast);</w:t>
      </w:r>
    </w:p>
    <w:p>
      <w:r>
        <w:t xml:space="preserve">bestehende Zuordnungen und Zuweisungen abändern,</w:t>
      </w:r>
    </w:p>
    <w:p>
      <w:r>
        <w:t xml:space="preserve">im Bereich der digital-terrestrischen Hörfunkverbreitung, soweit dies für die Etablierung einer flächendeckenden, regionalisierten digital-terrestrischen Hörfunkversorgung in der Region Berlin-Brandenburg erforderlich ist,</w:t>
      </w:r>
    </w:p>
    <w:p>
      <w:r>
        <w:t xml:space="preserve">im Bereich der analog-terrestrischen Hörfunkverbreitung, um Laufzeiten zu synchronisieren, soweit dies für eine geordnete und effektive Überführung der analog-terrestrischen in eine digital-terrestrische Hörfunkversorgung erforderlich und eine mindestens gleichwertige digital-terrestrische Verbreitung in dem bisherigen Versorgungsgebiet sichergestellt ist.</w:t>
      </w:r>
    </w:p>
    <w:p>
      <w:r>
        <w:t xml:space="preserve">Entscheidungen nach Satz 1 Nummer 2 müssen das Verhältnismäßigkeitsprinzip und die berechtigten wirtschaftlichen Interessen der Veranstalter wahren. Die jeweils betroffenen Veranstalter sind zuvor zu hören. Die Medienanstalt berücksichtigt die Ziele gemäß Satz 1 Nummer 2 auch bei der Festsetzung der Zuweisungszeiträume gemäß den §§ 25 und 26.</w:t>
      </w:r>
    </w:p>
    <w:p>
      <w:r>
        <w:t xml:space="preserve">(3) Die Medienanstalt soll auf eine Ausschreibung freier oder frei werdender analog- terrestrischer Übertragungskapazitäten verzichten.</w:t>
      </w:r>
    </w:p>
    <w:p>
      <w:r>
        <w:rPr>
          <w:color w:val="555555"/>
          <w:sz w:val="17"/>
        </w:rPr>
        <w:t xml:space="preserve">Zitiervorschlag: § 17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