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VT-ID262829 (Brandenburg) — Informationsrecht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Behörden sind verpflichtet, den Beauftragten der öffentlich-rechtlichen Rundfunkanstalten und der privaten Rundfunkveranstalter, die sich als solche ausweisen, zur Erfüllung ihrer öffentlichen Aufgaben Auskünfte zu erteilen.</w:t>
      </w:r>
    </w:p>
    <w:p>
      <w:r>
        <w:t xml:space="preserve">(2) Auskünfte dürfen nur verweigert werden, soweit</w:t>
      </w:r>
    </w:p>
    <w:p>
      <w:r>
        <w:t xml:space="preserve">Vorschriften über die Geheimhaltung entgegenstehen,</w:t>
      </w:r>
    </w:p>
    <w:p>
      <w:r>
        <w:t xml:space="preserve">Maßnahmen ihrem Wesen nach dauernd oder zeitweise geheim gehalten werden müssen, weil ihre Bekanntgabe oder ihre vorzeitige Bekanntgabe die öffentlichen Interessen schädigen oder gefährden würden,</w:t>
      </w:r>
    </w:p>
    <w:p>
      <w:r>
        <w:t xml:space="preserve">hierdurch die sachgerechte Durchführung eines schwebenden Verfahrens vereitelt, erschwert, verzögert oder gefährdet werden könnte oder</w:t>
      </w:r>
    </w:p>
    <w:p>
      <w:r>
        <w:t xml:space="preserve">ein schutzwürdiges privates Interesse verletzt würde.</w:t>
      </w:r>
    </w:p>
    <w:p>
      <w:r>
        <w:t xml:space="preserve">(3) Allgemeine Anordnungen, die einer Behörde Auskünfte an die Beauftragten nach Absatz 1 verbieten, sind unzulässig. Die öffentlich-rechtlichen Rundfunkanstalten und die privaten Rundfunkveranstalter können von den Behörden verlangen, dass ihnen deren amtliche Bekanntmachungen nicht später als ihren Mitbewerbern zur Verwendung zugeleitet werden.</w:t>
      </w:r>
    </w:p>
    <w:p>
      <w:r>
        <w:t xml:space="preserve">(4) Weitergehende landesrechtliche Regelungen bleiben unberührt.</w:t>
      </w:r>
    </w:p>
    <w:p>
      <w:r>
        <w:rPr>
          <w:color w:val="555555"/>
          <w:sz w:val="17"/>
        </w:rPr>
        <w:t xml:space="preserve">Zitiervorschlag: § 14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