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VT-ID248241 (Brandenburg) — Einbeziehung von Studiengängen</w:t>
      </w:r>
    </w:p>
    <w:p>
      <w:r>
        <w:rPr>
          <w:color w:val="555555"/>
          <w:sz w:val="18"/>
        </w:rPr>
        <w:t xml:space="preserve">Staatsvertrag über die Hochschulzulassung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Studiengänge Medizin, Zahnmedizin, Tiermedizin und Pharmazie sind in das Zentrale Vergabeverfahren einbezogen, solange für alle den jeweiligen Studiengang anbietenden Hochschulen Zulassungszahlen festgesetzt sind und zu erwarten ist, dass die Bewerberzahl die Gesamtzahl der zur Verfügung stehenden Studienplätze übersteigt. 2 Weitere Studiengänge können unter den Voraussetzungen des Satzes 1 einbezogen werden, soweit nicht wegen der Art der Zugangsvoraussetzungen den Hochschulen die Entscheidung vorbehalten wird. 3 Das Gleiche gilt, wenn aus anderen Gründen eine zentrale Vergabe der Studienplätze sinnvoll ist. 4 Die Einbeziehung eines Studiengangs ist aufzuheben, wenn die Voraussetzungen dafür entfallen sind oder ein Bedarf für eine zentrale Vergabe der Studienplätze nicht mehr besteht.</w:t>
      </w:r>
    </w:p>
    <w:p>
      <w:r>
        <w:rPr>
          <w:color w:val="555555"/>
          <w:sz w:val="17"/>
        </w:rPr>
        <w:t xml:space="preserve">Zitiervorschlag: Art 7 VT-ID248241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https://recht.nulegal.eu/gesetze/VT-ID248241/7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