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VT-ID248241 (Brandenburg) — Finanzierung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1 Zur Finanzierung der Aufgaben nach Artikel 2 Absatz 1 Nummer 1 einschließlich der insoweit anteiligen Finanzierung für die Durchführung des Dialogorientierten Serviceverfahrens erhebt die Stiftung von allen Hochschulen Beiträge; ausgenommen sind Hochschulen, die ausschließlich künstlerische Studiengänge, duale Studiengänge oder Fernstudiengänge anbieten, soweit diese Hochschulen nicht die Teilnahme am Verfahren erklären. 2 Die Höhe und Fälligkeit der Beiträge legt die Stiftung in einer Beitragsordnung fest.</w:t>
      </w:r>
    </w:p>
    <w:p>
      <w:r>
        <w:t xml:space="preserve">(2) 1 Zur Durchführung der Aufgaben nach Artikel 2 Absatz 1 Nummer 2 verpflichten sich die Länder, der Stiftung die erforderlichen Mittel einschließlich der insoweit anteiligen Finanzierung für die Durchführung des Dialogorientierten Serviceverfahrens als Zuschuss zur Verfügung zu stellen. 2 Der Betrag wird von den Ländern nach dem Königsteiner Schlüssel in der jeweils geltenden Fassung aufgebracht. 3 Der Wirtschaftsplan der Stiftung bedarf der Zustimmung der Finanzministerkonferenz mit einer Mehrheit von zwei Dritteln. 4 Die Anteilsbeträge der Länder werden im Laufe eines jeden Haushaltsjahres in zwei Teilbeträgen zum 1. Januar und zum 1. Juli nach den Ansätzen des Wirtschaftsplans fällig. 5 Über- und Minderzahlungen gegenüber dem sich nach der Jahresrechnung ergebenden Finanzbedarf werden bei dem zweiten Teilbetrag des folgenden Haushaltsjahres ausgeglichen.</w:t>
      </w:r>
    </w:p>
    <w:p>
      <w:r>
        <w:rPr>
          <w:color w:val="555555"/>
          <w:sz w:val="17"/>
        </w:rPr>
        <w:t xml:space="preserve">Zitiervorschlag: Art 15 VT-ID248241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https://recht.nulegal.eu/gesetze/VT-ID248241/15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