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1 VT-ID248211 (Brandenburg) — Anerkennung von Vorschriften</w:t>
      </w:r>
    </w:p>
    <w:p>
      <w:r>
        <w:rPr>
          <w:color w:val="555555"/>
          <w:sz w:val="18"/>
        </w:rPr>
        <w:t xml:space="preserve">Staatsvertrag zwischen dem Land Berlin und dem Land Brandenburg über die Freistellung von ehrenamtlich Engagierten in den Freiwilligen Feuerwehren und im Katastrophenschutz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Für Angehörige der Freiwilligen Feuerwehren des Landes Brandenburg und für Mitglieder der im Land Brandenburg im Katastrophenschutz mitwirkenden Hilfsorganisationen, die jeweils einer Erwerbstätigkeit im Land Berlin nachgehen, gilt § 8 Absatz 1 und 2 sowie Absatz 3 Satz 2 des Feuerwehrgesetzes vom 23. September 2003 ( GVBl. Bln S. 457), das zuletzt durch Artikel 1 des Gesetzes vom 9. Mai 2016 (GVBl. Bln S. 240) geändert worden ist, entsprechend.</w:t>
      </w:r>
    </w:p>
    <w:p>
      <w:r>
        <w:t xml:space="preserve">(2) Für Angehörige der Freiwilligen Feuerwehren des Landes Berlin und für freiwillige Helfer im Katastrophenschutzdienst des Landes Berlin, die jeweils einer Erwerbstätigkeit im Land Brandenburg nachgehen, gilt § 27 Absatz 1 Satz 3 und 4 sowie Absatz 2 des Brandenburgischen Brand- und Katastrophenschutzgesetzes vom 24. Mai 2004 ( GVBl. Bbg I S. 197), das zuletzt durch das Gesetz vom 18. Juni 2018 (GVBl. Bbg I Nr. 12) geändert worden ist, entsprechend.</w:t>
      </w:r>
    </w:p>
    <w:p>
      <w:r>
        <w:t xml:space="preserve">(3) Sofern für Angehörige von Berufsfeuerwehren, von Feuerwehren mit hauptamtlichen Kräften und von Werkfeuerwehren der ehrenamtliche Dienst in den Freiwilligen Feuerwehren und im Katastrophenschutz zulässig ist, finden die Absätze 1 und 2 entsprechende Anwendung.</w:t>
      </w:r>
    </w:p>
    <w:p>
      <w:r>
        <w:rPr>
          <w:color w:val="555555"/>
          <w:sz w:val="17"/>
        </w:rPr>
        <w:t xml:space="preserve">Zitiervorschlag: Art 1 VT-ID248211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https://recht.nulegal.eu/gesetze/VT-ID248211/1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