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 VT-ID244346 (Brandenburg) — Vermögensschutz</w:t>
      </w:r>
    </w:p>
    <w:p>
      <w:r>
        <w:rPr>
          <w:color w:val="555555"/>
          <w:sz w:val="18"/>
        </w:rPr>
        <w:t xml:space="preserve">Vertrag zwischen dem Land Brandenburg und der Jüdischen Gemeinde – Land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Landesbehörden werden bei der Anwendung enteignungsrechtlicher Vorschriften im Rahmen des gesetzlichen Ermessens auf die Belange der Landesgemeinde Rücksicht nehmen. Beabsichtigt die Landesgemeinde im Fall der Veräußerung von gemeindeeigenen Grundstücken gleichwertige Ersatzgrundstücke zu erwerben, werden ihr die Landesbehörden im Rahmen der geltenden Bestimmungen Unterstützung gewähren.</w:t>
      </w:r>
    </w:p>
    <w:p>
      <w:r>
        <w:t xml:space="preserve">(2) Soweit die Landesgemeinde von früheren vermögensrechtlichen Eingriffen betroffen ist, richten sich ihre Ansprüche nach den gesetzlichen Bestimmungen.</w:t>
      </w:r>
    </w:p>
    <w:p>
      <w:r>
        <w:rPr>
          <w:color w:val="555555"/>
          <w:sz w:val="17"/>
        </w:rPr>
        <w:t xml:space="preserve">Zitiervorschlag: Art 11 VT-ID244346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https://recht.nulegal.eu/gesetze/VT-ID244346/11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