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VT-ID242589 (Brandenburg) — Zusammenwirken</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Klärung von Fragen, die das Verhältnis von Staat und Kirche betreffen oder von beiderseitigem Interesse sind, treffen sich die Landesregierung und die Kirchenleitungen in regelmäßigen Begegnungen und bei zusätzlichem Bedarf.</w:t>
      </w:r>
    </w:p>
    <w:p>
      <w:r>
        <w:t xml:space="preserve">(2) Bevor durch Gesetz oder Rechtsverordnung allgemeine Fragen geregelt werden, die die Belange der Kirchen unmittelbar berühren können, wird die Landesregierung die Kirchen frühzeitig hören.</w:t>
      </w:r>
    </w:p>
    <w:p>
      <w:r>
        <w:t xml:space="preserve">(3) Zur Vertretung ihrer Anliegen gegenüber dem Staat und zur Verbesserung der gegenseitigen Information bestellen die Kirchen einen gemeinsamen Beauftragten und richten am Sitz der Landesregierung eine Geschäftsstelle ein.</w:t>
      </w:r>
    </w:p>
    <w:p>
      <w:r>
        <w:rPr>
          <w:color w:val="555555"/>
          <w:sz w:val="17"/>
        </w:rPr>
        <w:t xml:space="preserve">Zitiervorschlag: Art 2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