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VT-ID242589 (Brandenburg) — Patronatswesen</w:t>
      </w:r>
    </w:p>
    <w:p>
      <w:r>
        <w:rPr>
          <w:color w:val="555555"/>
          <w:sz w:val="18"/>
        </w:rPr>
        <w:t xml:space="preserve">Vertrag zwischen dem Land Brandenburg und den evangelischen Landeskirchen in Brandenburg (Evangelischer Kirchenvertrag Brandenburg)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Vertragsparteien stimmen darin überein, daß unbeschadet der Regelung nach Absatz 3 im Land Brandenburg durch die Verordnung über das Kirchenpatronatsrecht und gemeinsame Angelegenheiten der Gemeinden und Kirchengemeinden vom 9. Februar 1946 das Kirchenpatronat als staatsrechtliche Einrichtung aufgehoben ist.</w:t>
      </w:r>
    </w:p>
    <w:p>
      <w:r>
        <w:t xml:space="preserve">(2) Die Vertragsparteien stimmen darin überein, daß die Vermögensauseinandersetzung getrennter Schul- und Kirchenämter aufgrund der in Absatz 1 genannten Verordnung erfolgt ist.</w:t>
      </w:r>
    </w:p>
    <w:p>
      <w:r>
        <w:t xml:space="preserve">(3) Für die Gebiete des Landes Brandenburg, in denen die in Absatz 1 genannte Verordnung keine Geltung erlangt hat, wird die Aufhebung von Patronatsverhältnissen und die Vermögensauseinandersetzung von getrennten Schul- und Kirchenämtern durch gesonderte Vereinbarungen geregelt.</w:t>
      </w:r>
    </w:p>
    <w:p>
      <w:r>
        <w:rPr>
          <w:color w:val="555555"/>
          <w:sz w:val="17"/>
        </w:rPr>
        <w:t xml:space="preserve">Zitiervorschlag: Art 11 VT-ID242589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https://recht.nulegal.eu/gesetze/VT-ID242589/11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