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VT-ID242589 (Brandenburg) — Glaubensfreiheit und Rechtsstellung</w:t>
      </w:r>
    </w:p>
    <w:p>
      <w:r>
        <w:rPr>
          <w:color w:val="555555"/>
          <w:sz w:val="18"/>
        </w:rPr>
        <w:t xml:space="preserve">Vertrag zwischen dem Land Brandenburg und den evangelischen Landeskirchen in Brandenburg (Evangelischer Kirchenvertrag Brandenburg)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 Brandenburg gewährt der Freiheit, den evangelischen Glauben zu bekennen und auszuüben, den gesetzlichen Schutz.</w:t>
      </w:r>
    </w:p>
    <w:p>
      <w:r>
        <w:t xml:space="preserve">(2) Die Kirchen ordnen und verwalten ihre Angelegenheiten selbständig innerhalb der Schranken des für alle geltenden Gesetzes.</w:t>
      </w:r>
    </w:p>
    <w:p>
      <w:r>
        <w:rPr>
          <w:color w:val="555555"/>
          <w:sz w:val="17"/>
        </w:rPr>
        <w:t xml:space="preserve">Zitiervorschlag: Art 1 VT-ID242589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https://recht.nulegal.eu/gesetze/VT-ID242589/1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