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VT-ID242588 (Brandenburg)</w:t>
      </w:r>
    </w:p>
    <w:p>
      <w:r>
        <w:rPr>
          <w:color w:val="555555"/>
          <w:sz w:val="18"/>
        </w:rPr>
        <w:t xml:space="preserve">Vertrag zwischen dem Heiligen Stuhl und den Ländern Sachsen-Anhalt, Brandenburg und dem Freistaat Sachsen über die Errichtung des Bistums Magdeburg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Ein vom Bischof gemäß dem kirchlichen Recht errichtetes Diözesanseminar (Hochschule im Sinne des Kirchenrechts und Priesterseminar) zur wissenschaftlichen Vorbildung der Geistlichen kann die Eigenschaft einer staatlich anerkannten Hochschule erhalten.</w:t>
      </w:r>
    </w:p>
    <w:p>
      <w:r>
        <w:t xml:space="preserve">(2) Diese Anerkennung richtet sich nach dem Recht des Landes, in dem die Ausbildungsstätte ihren Sitz hat.</w:t>
      </w:r>
    </w:p>
    <w:p>
      <w:r>
        <w:rPr>
          <w:color w:val="555555"/>
          <w:sz w:val="17"/>
        </w:rPr>
        <w:t xml:space="preserve">Zitiervorschlag: Art 6 VT-ID242588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https://recht.nulegal.eu/gesetze/VT-ID242588/6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