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VT-ID242588 (Brandenburg)</w:t>
      </w:r>
    </w:p>
    <w:p>
      <w:r>
        <w:rPr>
          <w:color w:val="555555"/>
          <w:sz w:val="18"/>
        </w:rPr>
        <w:t xml:space="preserve">Vertrag zwischen dem Heiligen Stuhl und den Ländern Sachsen-Anhalt, Brandenburg und dem Freistaat Sachsen über die Errichtung des Bistums Magdeburg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Kathedralkapitel wird gebildet aus dem Dompropst, vier residierenden und drei nichtresidierenden Domkapitularen.</w:t>
      </w:r>
    </w:p>
    <w:p>
      <w:r>
        <w:t xml:space="preserve">(2) Der Diözesanbischof ernennt den Dompropst abwechselnd nach Anhörung und auf Ansuchen des Kathedralkapitels. Die Besetzung der Kanonikate erfolgt entsprechend Artikel 8 Abs. 2 des Vertrages des Freistaates Preußen mit dem Heiligen Stuhl vom 14. Juni 1929.</w:t>
      </w:r>
    </w:p>
    <w:p>
      <w:r>
        <w:t xml:space="preserve">(Schlußprotokoll)</w:t>
      </w:r>
    </w:p>
    <w:p>
      <w:r>
        <w:rPr>
          <w:color w:val="555555"/>
          <w:sz w:val="17"/>
        </w:rPr>
        <w:t xml:space="preserve">Zitiervorschlag: Art 4 VT-ID242588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https://recht.nulegal.eu/gesetze/VT-ID242588/4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