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Magdeburg wird ein Bistum mit einem Bischöflichen Stuhl und einem Kathedralkapitel errichtet. Bischof und Kathedralkapitel erhalten bei St. Sebastian in Magdeburg ihren Sitz.</w:t>
      </w:r>
    </w:p>
    <w:p>
      <w:r>
        <w:t xml:space="preserve">(2) Bistum, Bischöflicher Stuhl und Kathedralkapitel sind Körperschaften des öffentlichen Rechts. Das Bistum Magdeburg ist Rechtsnachfolger des Bischöflichen Amtes Magdeburg.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1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