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VT-ID242586 (Brandenburg) — Katholisches Bildungswesen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Katholische Kirche, ihre Ordensgemeinschaften und Einrichtungen haben das Recht, Hochschulen, Schulen in eigener Trägerschaft auf konfessioneller Grundlage sowie andere Aus-, Fort- und Weiterbildungsstätten zu errichten und zu betreiben.</w:t>
      </w:r>
    </w:p>
    <w:p>
      <w:r>
        <w:t xml:space="preserve">(2) Das Land betrachtet diese Bildungseinrichtungen als Bestandteil des pluralistischen Bildungssystem.</w:t>
      </w:r>
    </w:p>
    <w:p>
      <w:r>
        <w:t xml:space="preserve">(3) Die Genehmigung und Anerkennung solcher Bildungseinrichtungen sowie die Förderung aus öffentlichen Mitteln bestimmen sich nach Landesrecht.</w:t>
      </w:r>
    </w:p>
    <w:p>
      <w:r>
        <w:t xml:space="preserve">(4) Sofern Bildungsgänge, für die Abschlüsse vergeben oder staatliche Anerkennungen ausgesprochen werden, solchen im staatlichen Bereich gleichwertig sind, wird die Gleichstellung im Rahmen des Landesrechts sichergestellt.</w:t>
      </w:r>
    </w:p>
    <w:p>
      <w:r>
        <w:rPr>
          <w:color w:val="555555"/>
          <w:sz w:val="17"/>
        </w:rPr>
        <w:t xml:space="preserve">Zitiervorschlag: Art 5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