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VT-ID242586 (Brandenburg) — Zusammenwirken</w:t>
      </w:r>
    </w:p>
    <w:p>
      <w:r>
        <w:rPr>
          <w:color w:val="555555"/>
          <w:sz w:val="18"/>
        </w:rPr>
        <w:t xml:space="preserve">Vertrag zwischen dem Heiligen Stuhl und dem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 und die (Erz-)Bistümer werden zur Pflege ihrer Beziehungen einen ständigen Kontakt unterhalten. Sie werden sich vor der Regelung von Angelegenheiten, die beiderseitige Interessen berühren, miteinander ins Benehmen setzen und sich jederzeit zur Besprechung solcher Fragen zur Verfügung stellen.</w:t>
      </w:r>
    </w:p>
    <w:p>
      <w:r>
        <w:t xml:space="preserve">(2) Bevor durch Gesetz oder Rechtsverordnung allgemeine Fragen geregelt werden, die die Belange der Katholischen Kirche unmittelbar berühren können, wird die Landesregierung die Katholische Kirche frühzeitig hören.</w:t>
      </w:r>
    </w:p>
    <w:p>
      <w:r>
        <w:t xml:space="preserve">(Schlussprotokoll)</w:t>
      </w:r>
    </w:p>
    <w:p>
      <w:r>
        <w:rPr>
          <w:color w:val="555555"/>
          <w:sz w:val="17"/>
        </w:rPr>
        <w:t xml:space="preserve">Zitiervorschlag: Art 22 VT-ID242586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https://recht.nulegal.eu/gesetze/VT-ID242586/22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