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20 VT-ID242586 (Brandenburg) — Gebührenbefreiung</w:t>
      </w:r>
    </w:p>
    <w:p>
      <w:r>
        <w:rPr>
          <w:color w:val="555555"/>
          <w:sz w:val="18"/>
        </w:rPr>
        <w:t xml:space="preserve">Vertrag zwischen dem Heiligen Stuhl und dem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Katholische Kirche, die (Erz-)Bistümer, die (Erz-)Bischöflichen Stühle, die (Metropolitan-)Kathedralkapitel, die Kirchengemeinden und die aus Kirchengemeinden gebildeten Gesamtverbände sowie die sonstigen öffentlich-rechtlichen kirchlichen Körperschaften, Anstalten und Stiftungen mit eigener Rechtspersönlichkeit sind von der Zahlung der auf Landesrecht beruhenden Verwaltungsgebühren befreit, soweit die Amtshandlung unmittelbar der Durchführung kirchlicher Zwecke dient.</w:t>
      </w:r>
    </w:p>
    <w:p>
      <w:r>
        <w:t xml:space="preserve">(Schlussprotokoll)</w:t>
      </w:r>
    </w:p>
    <w:p>
      <w:r>
        <w:rPr>
          <w:color w:val="555555"/>
          <w:sz w:val="17"/>
        </w:rPr>
        <w:t xml:space="preserve">Zitiervorschlag: Art 20 VT-ID242586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https://recht.nulegal.eu/gesetze/VT-ID242586/20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