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VT-ID242586 (Brandenburg) — Friedhöfe</w:t>
      </w:r>
    </w:p>
    <w:p>
      <w:r>
        <w:rPr>
          <w:color w:val="555555"/>
          <w:sz w:val="18"/>
        </w:rPr>
        <w:t xml:space="preserve">Vertrag zwischen dem Heiligen Stuhl und dem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katholischen Friedhöfe genießen den gleichen staatlichen Schutz wie die kommunalen Friedhöfe.</w:t>
      </w:r>
    </w:p>
    <w:p>
      <w:r>
        <w:t xml:space="preserve">(2) Die katholischen Kirchengemeinden haben das Recht, im Rahmen der Gesetze neue Friedhöfe anzulegen oder bestehende zu erweitern.</w:t>
      </w:r>
    </w:p>
    <w:p>
      <w:r>
        <w:t xml:space="preserve">(3) Die Katholische Kirche hat das Recht, auf öffentlichen Friedhöfen Gottesdienste zu halten.</w:t>
      </w:r>
    </w:p>
    <w:p>
      <w:r>
        <w:t xml:space="preserve">(4) Die Träger kirchlicher Friedhöfe können in Anlehnung an die für die Gemeinden geltenden Grundsätze Benutzungs- und Gebührenordnungen erlassen.</w:t>
      </w:r>
    </w:p>
    <w:p>
      <w:r>
        <w:t xml:space="preserve">(5) Auf kirchlichen Friedhöfen ist die Bestattung aller in der Gemeinde Verstorbenen zu ermöglichen, wenn dort kein kommunaler Friedhof vorhanden ist. Dabei sind die kirchlichen Vorschriften zu beachten.</w:t>
      </w:r>
    </w:p>
    <w:p>
      <w:r>
        <w:rPr>
          <w:color w:val="555555"/>
          <w:sz w:val="17"/>
        </w:rPr>
        <w:t xml:space="preserve">Zitiervorschlag: Art 13 VT-ID242586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https://recht.nulegal.eu/gesetze/VT-ID242586/13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