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6 VT-ID237732 (Brandenburg)</w:t>
      </w:r>
    </w:p>
    <w:p>
      <w:r>
        <w:rPr>
          <w:color w:val="555555"/>
          <w:sz w:val="18"/>
        </w:rPr>
        <w:t xml:space="preserve">Abkommen über die gemeinsame Finanzierung der "Stiftung Preußische Schlösser und Gärten Berlin-Brandenburg"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Dieses Abkommen wird auf die Dauer von 6 Jahren ab Inkrafttreten geschlossen.</w:t>
      </w:r>
    </w:p>
    <w:p>
      <w:r>
        <w:t xml:space="preserve">(2) Spätestens zwei Jahre vor Ablauf des Finanzierungsabkommens oder bei einer wesentlichen Veränderung der Geschäftsgrundlage werden die Vertragschließenden über die weitere Finanzierung der "Stiftung Preußische Schlösser und Gärten Berlin-Brandenburg" verhandeln.</w:t>
      </w:r>
    </w:p>
    <w:p>
      <w:r>
        <w:rPr>
          <w:color w:val="555555"/>
          <w:sz w:val="17"/>
        </w:rPr>
        <w:t xml:space="preserve">Zitiervorschlag: Art 6 VT-ID237732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https://recht.nulegal.eu/gesetze/VT-ID237732/6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