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VT-ID237732 (Brandenburg)</w:t>
      </w:r>
    </w:p>
    <w:p>
      <w:r>
        <w:rPr>
          <w:color w:val="555555"/>
          <w:sz w:val="18"/>
        </w:rPr>
        <w:t xml:space="preserve">Abkommen über die gemeinsame Finanzierung der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gilt das Haushaltsrecht des Sitzlandes. Der Rechnungshof des Sitzlandes prüft die Haushalts- und Wirtschaftsführung. Er unterrichtet den Bundesrechnungshof und den Rechnungshof von Berlin, deren Rechte nach § 91 der jeweiligen Haushaltsordnungen unberührt bleiben.</w:t>
      </w:r>
    </w:p>
    <w:p>
      <w:r>
        <w:t xml:space="preserve">Der Rechnungshof des Sitzlandes soll insbesondere bei den in Berlin gelegenen Schlössern und Gärten mit dem Rechnungshof von Berlin zusammenarbeiten.</w:t>
      </w:r>
    </w:p>
    <w:p>
      <w:r>
        <w:rPr>
          <w:color w:val="555555"/>
          <w:sz w:val="17"/>
        </w:rPr>
        <w:t xml:space="preserve">Zitiervorschlag: Art 5 VT-ID237732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https://recht.nulegal.eu/gesetze/VT-ID237732/5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