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VT-ID237732 (Brandenburg)</w:t>
      </w:r>
    </w:p>
    <w:p>
      <w:r>
        <w:rPr>
          <w:color w:val="555555"/>
          <w:sz w:val="18"/>
        </w:rPr>
        <w:t xml:space="preserve">Abkommen über die gemeinsame Finanzierung der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 Archiv- und Sammlungsgegenständen, die mit Bundeszuwendungen beschafft werden, wird der Bund in Höhe seines Finanzierungsanteils Miteigentümer.</w:t>
      </w:r>
    </w:p>
    <w:p>
      <w:r>
        <w:t xml:space="preserve">Die Inventarisierung, die zeitliche Bindung, der Wertausgleich, die Einräumung dinglicher Rechte richten sich nach den Vorl. VV zur LHO sowie den ANBest-I.</w:t>
      </w:r>
    </w:p>
    <w:p>
      <w:r>
        <w:rPr>
          <w:color w:val="555555"/>
          <w:sz w:val="17"/>
        </w:rPr>
        <w:t xml:space="preserve">Zitiervorschlag: Art 3 VT-ID237732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https://recht.nulegal.eu/gesetze/VT-ID237732/3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