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VT-ID237732 (Brandenburg)</w:t>
      </w:r>
    </w:p>
    <w:p>
      <w:r>
        <w:rPr>
          <w:color w:val="555555"/>
          <w:sz w:val="18"/>
        </w:rPr>
        <w:t xml:space="preserve">Abkommen über die gemeinsame Finanzierung der "Stiftung Preußische Schlösser und Gärten Berlin-Brandenburg"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Im Haushaltsjahr 1994 wird die Stiftung nach Maßgabe der im Bundeshaushalt und der in den Haushalten der Länder Berlin und Brandenburg vorgesehenen Zuwendungen finanziert.</w:t>
      </w:r>
    </w:p>
    <w:p>
      <w:r>
        <w:t xml:space="preserve">Ab dem Haushaltsjahr 1995 tragen der Bund 37 v. H., das Land Brandenburg 43 v. H. und das Land Berlin 20 v. H. des Zuwendungsbedarfs der Stiftung.</w:t>
      </w:r>
    </w:p>
    <w:p>
      <w:r>
        <w:rPr>
          <w:color w:val="555555"/>
          <w:sz w:val="17"/>
        </w:rPr>
        <w:t xml:space="preserve">Zitiervorschlag: Art 2 VT-ID237732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https://recht.nulegal.eu/gesetze/VT-ID237732/2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