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VT-ID237732 (Brandenburg)</w:t>
      </w:r>
    </w:p>
    <w:p>
      <w:r>
        <w:rPr>
          <w:color w:val="555555"/>
          <w:sz w:val="18"/>
        </w:rPr>
        <w:t xml:space="preserve">Abkommen über die gemeinsame Finanzierung der "Stiftung Preußische Schlösser und Gärten Berlin-Brandenburg"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Vertragschließenden verpflichten sich, nach Maßgabe ihrer Haushaltspläne der "Stiftung Preußische Schlösser und Gärten Berlin-Brandenburg" die zum Ausgleich des Stiftungshaushalts erforderlichen Mittel zur Verfügung zu stellen.</w:t>
      </w:r>
    </w:p>
    <w:p>
      <w:r>
        <w:t xml:space="preserve">(2) Den Vertragschließenden wird gemäß Artikel 2 (6) des Staatsvertrages über die Errichtung einer "Stiftung Preußische Schlösser und Gärten Berlin-Brandenburg" ein Nutzungsrecht bei der Vergabe von Schloßräumen und Freiflächen eingeräumt.</w:t>
      </w:r>
    </w:p>
    <w:p>
      <w:r>
        <w:rPr>
          <w:color w:val="555555"/>
          <w:sz w:val="17"/>
        </w:rPr>
        <w:t xml:space="preserve">Zitiervorschlag: Art 1 VT-ID237732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https://recht.nulegal.eu/gesetze/VT-ID237732/1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