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VT-ID237707 (Brandenburg) — Möglichkeit der Umwandlung</w:t>
      </w:r>
    </w:p>
    <w:p>
      <w:r>
        <w:rPr>
          <w:color w:val="555555"/>
          <w:sz w:val="18"/>
        </w:rPr>
        <w:t xml:space="preserve">Staatsvertrag zur Abwicklung der Feuersozietät Berlin Brandenburg und zur Haftungsregelung für die Öffentliche Lebensversicherung Berlin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Umwandlung in eine Aktiengesellschaft ist zulässig.</w:t>
      </w:r>
    </w:p>
    <w:p>
      <w:r>
        <w:t xml:space="preserve">(2) Über die Umwandlung beschließt die Gewährträgerversammlung der Anstalt.</w:t>
      </w:r>
    </w:p>
    <w:p>
      <w:r>
        <w:t xml:space="preserve">(3) Die Satzung der Aktiengesellschaft ist durch Beschluss der Gewährträgerversammlung festzustellen.</w:t>
      </w:r>
    </w:p>
    <w:p>
      <w:r>
        <w:t xml:space="preserve">(4) Die Gewährträgerversammlung bestellt den ersten Aufsichtsrat der Aktiengesellschaft.</w:t>
      </w:r>
    </w:p>
    <w:p>
      <w:r>
        <w:t xml:space="preserve">(5) Die Länder Berlin und Brandenburg verzichten auf die Erstellung eines Umwandlungsberichtes nebst Vermögensaufstellung im Sinne von § 192 des Umwandlungsgesetzes.</w:t>
      </w:r>
    </w:p>
    <w:p>
      <w:r>
        <w:t xml:space="preserve">(6) Als Gründer der Aktiengesellschaft gelten die Länder Berlin und Brandenburg.</w:t>
      </w:r>
    </w:p>
    <w:p>
      <w:r>
        <w:t xml:space="preserve">(7) Die Länder Berlin und Brandenburg übernehmen das Grundkapital der Aktiengesellschaft, das in Stückaktien eingeteilt ist. Die Länder erhalten Aktien entsprechend folgender Verteilungsquote:</w:t>
      </w:r>
    </w:p>
    <w:p>
      <w:r>
        <w:t xml:space="preserve">Land Berlin:</w:t>
      </w:r>
    </w:p>
    <w:p>
      <w:r>
        <w:t xml:space="preserve">68,69 v. H.</w:t>
      </w:r>
    </w:p>
    <w:p>
      <w:r>
        <w:t xml:space="preserve">Land Brandenburg:</w:t>
      </w:r>
    </w:p>
    <w:p>
      <w:r>
        <w:t xml:space="preserve">31,31 v. H.</w:t>
      </w:r>
    </w:p>
    <w:p>
      <w:r>
        <w:t xml:space="preserve">Sofern die Länder Berlin und Brandenburg aus ihrer Haftung gemäß § 1 Abs. 3 dieses Vertrages zwischenzeitlich in Anspruch genommen worden sind, ist das Aufteilungsverhältnis unter Berücksichtigung der Höhe der Leistungen der beiden Länder anzupassen.</w:t>
      </w:r>
    </w:p>
    <w:p>
      <w:r>
        <w:rPr>
          <w:color w:val="555555"/>
          <w:sz w:val="17"/>
        </w:rPr>
        <w:t xml:space="preserve">Zitiervorschlag: § 6 VT-ID237707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