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VT-ID237704 (Brandenburg) — Zusatzversorgung der übergeleiteten Arbeitnehmerinnen und Arbeitnehmer</w:t>
      </w:r>
    </w:p>
    <w:p>
      <w:r>
        <w:rPr>
          <w:color w:val="555555"/>
          <w:sz w:val="18"/>
        </w:rPr>
        <w:t xml:space="preserve">Staatsvertrag zwischen dem Land Berlin und dem Land Brandenburg über die Errichtung eines Amtes für Statistik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Sicherung der Ansprüche auf eine zusätzliche Alters- und Hinterbliebenenversorgung der von Artikel 16 Abs. 1 erfassten Beschäftigten stellt die Anstalt sicher, dass die in § 19 Abs. 2 Buchstabe d der Satzung der Versorgungsanstalt des Bundes und der Länder geforderten tatsächlichen und rechtlichen Voraussetzungen geschaffen werden oder erhalten bleiben.</w:t>
      </w:r>
    </w:p>
    <w:p>
      <w:r>
        <w:t xml:space="preserve">(2) Die Beteiligung bei der Versorgungsanstalt des Bundes und der Länder ist unverzüglich zu beantragen. Die Beschäftigten sind nach Maßgabe der Beteiligungsvereinbarung bei der VBL weiterzuversichern.</w:t>
      </w:r>
    </w:p>
    <w:p>
      <w:r>
        <w:rPr>
          <w:color w:val="555555"/>
          <w:sz w:val="17"/>
        </w:rPr>
        <w:t xml:space="preserve">Zitiervorschlag: Art 17 VT-ID237704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https://recht.nulegal.eu/gesetze/VT-ID237704/17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