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 VT-ID237704 (Brandenburg) — Freiheit von Abgaben und Gebühren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Rechtshandlungen, die wegen der Rechtsnachfolge nach Artikel 2 Abs. 2 erforderlich werden, sind frei von Abgaben und Gebühren, soweit eine Befreiung durch Brandenburger und Berliner Landesrecht angeordnet werden kann.</w:t>
      </w:r>
    </w:p>
    <w:p>
      <w:r>
        <w:t xml:space="preserve">III. Abschnitt</w:t>
      </w:r>
    </w:p>
    <w:p>
      <w:r>
        <w:t xml:space="preserve">Rechtsverhältnis zwischen der Anstalt und ihren Trägern</w:t>
      </w:r>
    </w:p>
    <w:p>
      <w:r>
        <w:rPr>
          <w:color w:val="555555"/>
          <w:sz w:val="17"/>
        </w:rPr>
        <w:t xml:space="preserve">Zitiervorschlag: Art 14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