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VT-ID237683 (Brandenburg)</w:t>
      </w:r>
    </w:p>
    <w:p>
      <w:r>
        <w:rPr>
          <w:color w:val="555555"/>
          <w:sz w:val="18"/>
        </w:rPr>
        <w:t xml:space="preserve">Staatsvertrag zwischen dem Land Brandenburg und dem Land Mecklenburg-Vorpommern über die grenzüberschreitende kommunale Zusammenarbeit in Zweckverbänden, Planungsverbänden nach § 205 des Baugesetzbuches und durch öffentlich-rechtliche Vereinbarungen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vertragschließenden Länder können diesen Staatsvertrag mit einer Frist von einem Jahr zum Ende eines Kalenderjahres kündigen. Die Artikel 2 bis 4 gelten jedoch für die vor dem Außer-Kraft-Treten des Staatsvertrages rechtswirksam zustande gekommenen Verbände und öffentlich-rechtlichen Vereinbarungen weiter.</w:t>
      </w:r>
    </w:p>
    <w:p>
      <w:r>
        <w:rPr>
          <w:color w:val="555555"/>
          <w:sz w:val="17"/>
        </w:rPr>
        <w:t xml:space="preserve">Zitiervorschlag: Art 6 VT-ID237683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https://recht.nulegal.eu/gesetze/VT-ID237683/6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