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VT-ID237682 (Brandenburg) — Inkrafttreten</w:t>
      </w:r>
    </w:p>
    <w:p>
      <w:r>
        <w:rPr>
          <w:color w:val="555555"/>
          <w:sz w:val="18"/>
        </w:rPr>
        <w:t xml:space="preserve">Staatsvertrag zwischen den Ländern Berlin, Brandenburg und Sachsen-Anhalt über die Übertragung der Zuständigkeit in Staatsschutz-Strafsachen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Staatsvertrag bedarf der Ratifikation. Die Ratifikationsurkunden werden bei der Senatskanzlei des Landes Berlin hinterlegt.</w:t>
      </w:r>
    </w:p>
    <w:p>
      <w:r>
        <w:t xml:space="preserve">(2) Dieser Staatsvertrag tritt mit Ablauf des Kalendervierteljahres in Kraft, in dem die letzte Ratifikationsurkunde hinterlegt worden ist.</w:t>
      </w:r>
    </w:p>
    <w:p>
      <w:r>
        <w:t xml:space="preserve">Berlin, 8. November 2010</w:t>
      </w:r>
    </w:p>
    <w:p>
      <w:r>
        <w:t xml:space="preserve">Für das Land Berlin</w:t>
      </w:r>
    </w:p>
    <w:p>
      <w:r>
        <w:t xml:space="preserve">In Vertretung des Regierenden Bürgermeisters</w:t>
      </w:r>
    </w:p>
    <w:p>
      <w:r>
        <w:t xml:space="preserve">Die Senatorin für Justiz</w:t>
      </w:r>
    </w:p>
    <w:p>
      <w:r>
        <w:t xml:space="preserve">Gisela von der Aue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Minister der Justiz</w:t>
      </w:r>
    </w:p>
    <w:p>
      <w:r>
        <w:t xml:space="preserve">Volkmar Schöneburg</w:t>
      </w:r>
    </w:p>
    <w:p>
      <w:r>
        <w:t xml:space="preserve">Für das Land Sachsen-Anhalt</w:t>
      </w:r>
    </w:p>
    <w:p>
      <w:r>
        <w:t xml:space="preserve">In Vertretung des Ministerpräsidenten</w:t>
      </w:r>
    </w:p>
    <w:p>
      <w:r>
        <w:t xml:space="preserve">Die Ministerin der Justiz des Landes Sachsen-Anhalt</w:t>
      </w:r>
    </w:p>
    <w:p>
      <w:r>
        <w:t xml:space="preserve">Angela Kolb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5 VT-ID237682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https://recht.nulegal.eu/gesetze/VT-ID237682/5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