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24 VT-ID237661 (Brandenburg) — Inkrafttreten</w:t>
      </w:r>
    </w:p>
    <w:p>
      <w:r>
        <w:rPr>
          <w:color w:val="555555"/>
          <w:sz w:val="18"/>
        </w:rPr>
        <w:t xml:space="preserve">Staatsvertrag zwischen dem Land Berlin und dem Land Brandenburg über die Errichtung eines Landeslabors Berlin-Brandenburg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Dieser Staatsvertrag bedarf der Ratifikation. Er tritt am ersten Tag des auf den Austausch der Ratifikationsurkunden folgenden Monats in Kraft.</w:t>
      </w:r>
    </w:p>
    <w:p>
      <w:r>
        <w:t xml:space="preserve">Berlin, den 30. September 2008</w:t>
      </w:r>
    </w:p>
    <w:p>
      <w:r>
        <w:t xml:space="preserve">Für das Land Berlin</w:t>
      </w:r>
    </w:p>
    <w:p>
      <w:r>
        <w:t xml:space="preserve">Der Regierende Bürgermeister</w:t>
      </w:r>
    </w:p>
    <w:p>
      <w:r>
        <w:t xml:space="preserve">vertreten durch die Senatorin für Gesundheit,</w:t>
      </w:r>
    </w:p>
    <w:p>
      <w:r>
        <w:t xml:space="preserve">Umwelt und Verbraucherschutz</w:t>
      </w:r>
    </w:p>
    <w:p>
      <w:r>
        <w:t xml:space="preserve">Katrin Lompscher</w:t>
      </w:r>
    </w:p>
    <w:p>
      <w:r>
        <w:t xml:space="preserve">Für das Land Brandenburg</w:t>
      </w:r>
    </w:p>
    <w:p>
      <w:r>
        <w:t xml:space="preserve">Der Ministerpräsident</w:t>
      </w:r>
    </w:p>
    <w:p>
      <w:r>
        <w:t xml:space="preserve">vertreten durch den Minister</w:t>
      </w:r>
    </w:p>
    <w:p>
      <w:r>
        <w:t xml:space="preserve">für Ländliche Entwicklung, Umwelt und Verbraucherschutz</w:t>
      </w:r>
    </w:p>
    <w:p>
      <w:r>
        <w:t xml:space="preserve">Dr. Dietmar Woidke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24 VT-ID237661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https://recht.nulegal.eu/gesetze/VT-ID237661/24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