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VT-ID237661 (Brandenburg) — Personalrat, Schwerbehindertenvertretung, Frauenvertreterin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Personalrat ist nach dem Recht des Landes Berlin zu bilden.</w:t>
      </w:r>
    </w:p>
    <w:p>
      <w:r>
        <w:t xml:space="preserve">(2) Für die zu wählende Schwerbehindertenvertretung ist das Verfahren nach dem Neunten Buch Sozialgesetzbuch anzuwenden.</w:t>
      </w:r>
    </w:p>
    <w:p>
      <w:r>
        <w:t xml:space="preserve">(3) Die Frauenvertreterin wird nach dem Recht des Landes Berlin gewählt.</w:t>
      </w:r>
    </w:p>
    <w:p>
      <w:r>
        <w:t xml:space="preserve">V. Abschnitt</w:t>
      </w:r>
    </w:p>
    <w:p>
      <w:r>
        <w:t xml:space="preserve">Übergangsregelungen</w:t>
      </w:r>
    </w:p>
    <w:p>
      <w:r>
        <w:rPr>
          <w:color w:val="555555"/>
          <w:sz w:val="17"/>
        </w:rPr>
        <w:t xml:space="preserve">Zitiervorschlag: Art 19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