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VT-ID237647 (Brandenburg) — Dienstaufsicht über die erstinstanzlichen Gerichte, Beurteilungswesen, Übertragung von Justizverwaltungsaufgaben</w:t>
      </w:r>
    </w:p>
    <w:p>
      <w:r>
        <w:rPr>
          <w:color w:val="555555"/>
          <w:sz w:val="18"/>
        </w:rPr>
        <w:t xml:space="preserve">Staatsvertrag über die Errichtung gemeinsamer Fachobergerichte der Länder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Soweit das Bundes- oder Landesrecht dies vorsehen, nimmt der Präsident eines gemeinsamen Fachobergerichtes die übergeordnete Dienstaufsicht über die dem Gericht zugeordneten erstinstanzlichen Gerichte wahr. Die den Ländern Berlin und Brandenburg zustehende Aufsicht über diese Gerichte wird durch die Aufsichtsbefugnisse des Präsidenten des gemeinsamen Fachobergerichtes nicht berührt.</w:t>
      </w:r>
    </w:p>
    <w:p>
      <w:r>
        <w:t xml:space="preserve">(2) Zur Wahrung der Chancengleichheit zwischen den Berliner und Brandenburger Richtern werden nach Errichtung eines gemeinsamen Fachobergerichtes die Richter des jeweiligen Gerichtszweiges in beiden Ländern neu beurteilt. Der Fachobergerichtspräsident gewährleistet durch Überbeurteilungen einen einheitlichen Beurteilungsmaßstab, soweit er die Neubeurteilungen nicht selbst vornimmt. Dem Präsidenten eines gemeinsamen Fachobergerichtes obliegt auch später die Überbeurteilung der an den erstinstanzlichen Gerichten tätigen Richter, soweit er diese nicht beurteilt. Der zuständige Senator und der zuständige Minister erlassen bis spätestens zur Errichtung eines gemeinsamen Fachobergerichtes übereinstimmende Beurteilungsrichtlinien für den jeweiligen Gerichtszweig. Soweit die Beurteilungsrichtlinien bis zur Errichtung eines gemeinsamen Fachobergerichtes noch nicht erlassen werden konnten, erlässt der Präsident des gemeinsamen Fachobergerichtes sie umgehend nach Errichtung des Gerichtes im Einvernehmen mit dem zuständigen Senator und dem zuständigen Minister.</w:t>
      </w:r>
    </w:p>
    <w:p>
      <w:r>
        <w:t xml:space="preserve">(3) Die zuständigen Senatoren und Minister können einem gemeinsamen Fachobergericht einvernehmlich weitere Aufgaben der Justizverwaltung übertragen. Das gemeinsame Fachobergericht unterliegt insoweit der Aufsicht des übertragenden Landes. Der Kreis der aus Berlin und Brandenburg übertragenen Aufgaben muss sich nicht decken.</w:t>
      </w:r>
    </w:p>
    <w:p>
      <w:r>
        <w:rPr>
          <w:color w:val="555555"/>
          <w:sz w:val="17"/>
        </w:rPr>
        <w:t xml:space="preserve">Zitiervorschlag: Art 9 VT-ID237647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https://recht.nulegal.eu/gesetze/VT-ID237647/9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