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VT-ID237647 (Brandenburg) — Richteranklage</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Verstößt ein Richter eines gemeinsamen Fachobergerichtes im Amte oder außerhalb des Amtes gegen die Grundsätze des Grundgesetzes oder gegen die verfassungsmäßige Ordnung des Landes Berlin oder des Landes Brandenburg, so kann das Bundesverfassungsgericht mit Zwei-Drittel-Mehrheit auf Antrag anordnen, dass der Richter in ein anderes Amt oder in den Ruhestand zu versetzen ist. Im Falle eines vorsätzlichen Verstoßes kann auf Entlassung erkannt werden. Der Antrag kann gestellt werden</w:t>
      </w:r>
    </w:p>
    <w:p>
      <w:r>
        <w:t xml:space="preserve">bei einem Verstoß gegen die Grundsätze des Grundgesetzes von der Mehrheit der Mitglieder des Abgeordnetenhauses von Berlin oder der Mehrheit der Mitglieder des Landtages Brandenburg,</w:t>
      </w:r>
    </w:p>
    <w:p>
      <w:r>
        <w:t xml:space="preserve">bei einem Verstoß gegen die verfassungsmäßige Ordnung des Landes Berlin von der Mehrheit der Mitglieder des Abgeordnetenhauses von Berlin,</w:t>
      </w:r>
    </w:p>
    <w:p>
      <w:r>
        <w:t xml:space="preserve">bei einem Verstoß gegen die verfassungsmäßige Ordnung des Landes Brandenburg von der Mehrheit der Mitglieder des Landtages Brandenburg.</w:t>
      </w:r>
    </w:p>
    <w:p>
      <w:r>
        <w:rPr>
          <w:color w:val="555555"/>
          <w:sz w:val="17"/>
        </w:rPr>
        <w:t xml:space="preserve">Zitiervorschlag: Art 5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