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21 VT-ID237647 (Brandenburg) — Geschäftsräume, Informationstechnik</w:t>
      </w:r>
    </w:p>
    <w:p>
      <w:r>
        <w:rPr>
          <w:color w:val="555555"/>
          <w:sz w:val="18"/>
        </w:rPr>
        <w:t xml:space="preserve">Staatsvertrag über die Errichtung gemeinsamer Fachobergerichte der Länder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Sitzland eines gemeinsamen Fachobergerichtes stellt die erforderlichen Geschäftsräume einschließlich der für die Informationstechnik notwendigen aktiven und passiven Verkabelung, die zur Ausstattung notwendigen Einrichtungsgegenstände sowie die Bücherei; die anfallenden Kosten werden nicht umgelegt.</w:t>
      </w:r>
    </w:p>
    <w:p>
      <w:r>
        <w:t xml:space="preserve">(2) Das Sitzland beschafft die für ein gemeinsames Fachobergericht notwendige Computerhard- und -software. Die Auswahl der Software erfolgt im Einvernehmen beider Länder, falls dieses nicht erreichbar ist, durch die zuständige Senatsverwaltung oder das zuständige Ministerium des Sitzlandes.</w:t>
      </w:r>
    </w:p>
    <w:p>
      <w:r>
        <w:rPr>
          <w:color w:val="555555"/>
          <w:sz w:val="17"/>
        </w:rPr>
        <w:t xml:space="preserve">Zitiervorschlag: Art 21 VT-ID237647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https://recht.nulegal.eu/gesetze/VT-ID237647/21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