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VT-ID237647 (Brandenburg) — Richterwahl, Richterernennung</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planmäßigen Richter eines gemeinsamen Fachobergerichtes stehen im Dienste beider Länder. Sie werden auf einvernehmlichen Vorschlag des zuständigen Senators und des zuständigen Ministers durch den gemeinsamen Richterwahlausschuss gewählt. Der gemeinsame Richterwahlausschuss besteht aus den Mitgliedern der Richterwahlausschüsse beider Länder. Erforderlich für die Wahl ist die Mehrheit der Berliner und die Mehrheit der Brandenburger Mitglieder des gemeinsamen Richterwahlausschusses. Der zuständige Senator und der zuständige Minister haben kein Stimmrecht. Die Richter werden gemeinschaftlich von den Landesregierungen ernannt und entlassen; die Urkunden werden gemeinsam vollzogen.</w:t>
      </w:r>
    </w:p>
    <w:p>
      <w:r>
        <w:t xml:space="preserve">(2) Der Präsident eines gemeinsamen Fachobergerichtes wird auf einvernehmlichen Vorschlag der Landesregierungen durch den gemeinsamen Richterwahlausschuss gewählt.</w:t>
      </w:r>
    </w:p>
    <w:p>
      <w:r>
        <w:t xml:space="preserve">(3) Der gemeinsame Richterwahlausschuss tagt als Richterwahlausschuss für das Fachobergericht. Den Vorsitz führen der zuständige Senator und der zuständige Minister im Wechsel von Sitzung zu Sitzung; der Beginn liegt beim Sitzland des Fachobergerichtes.</w:t>
      </w:r>
    </w:p>
    <w:p>
      <w:r>
        <w:t xml:space="preserve">(4) Das Nähere zur Richterwahl regelt eine Geschäftsordnung, die sich der gemeinsame Richterwahlausschuss mit der Mehrheit der stimmberechtigten ständigen Mitglieder aus Berlin und der Mehrheit der stimmberechtigten ständigen Mitglieder aus Brandenburg gibt und die der Zustimmung beider Landesregierungen bedarf.</w:t>
      </w:r>
    </w:p>
    <w:p>
      <w:r>
        <w:t xml:space="preserve">(5) Freie Planstellen werden ausgeschrieben.</w:t>
      </w:r>
    </w:p>
    <w:p>
      <w:r>
        <w:rPr>
          <w:color w:val="555555"/>
          <w:sz w:val="17"/>
        </w:rPr>
        <w:t xml:space="preserve">Zitiervorschlag: Art 2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