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 VT-ID237647 (Brandenburg) — Personalräte</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jedem gemeinsamen Fachobergericht wird nach dem Landesrecht des Sitzlandes ein Personalrat gebildet und beteiligt.</w:t>
      </w:r>
    </w:p>
    <w:p>
      <w:r>
        <w:t xml:space="preserve">(2) Soweit ein gemeinsames Fachobergericht die Aufgaben einer Mittelbehörde für das Sitzland wahrnimmt, beteiligt der Präsident die nach dem Personalvertretungsrecht des Sitzlandes zuständige Personalvertretung nach dem Recht des Sitzlandes. Soweit ein gemeinsames Fachobergericht die Aufgaben einer Mittelbehörde für das andere Land wahrnimmt, beteiligt der Präsident die nach dem Personalvertretungsrecht des anderen Landes zuständige Personalvertretung nach dem Recht des anderen Landes. Diese kann bei dem gemeinsamen Fachobergericht angesiedelt werden; für sie sind nur die nichtrichterlichen Bediensteten der erstinstanzlichen Gerichte des anderen Landes aktiv und passiv wahlberechtigt.</w:t>
      </w:r>
    </w:p>
    <w:p>
      <w:r>
        <w:t xml:space="preserve">(3) Für das Verfahren bei Nichteinigung in beteiligungspflichtigen Angelegenheiten gilt jeweils das Recht des betroffenen Landes.</w:t>
      </w:r>
    </w:p>
    <w:p>
      <w:r>
        <w:t xml:space="preserve">II. Abschnitt</w:t>
      </w:r>
    </w:p>
    <w:p>
      <w:r>
        <w:t xml:space="preserve">Regelungen für einzelne Fachobergerichte</w:t>
      </w:r>
    </w:p>
    <w:p>
      <w:r>
        <w:rPr>
          <w:color w:val="555555"/>
          <w:sz w:val="17"/>
        </w:rPr>
        <w:t xml:space="preserve">Zitiervorschlag: Art 12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