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VT-ID237647 (Brandenburg) — Bezeichnung, Sitz und Errichtungszeitpunkte, Siegel</w:t>
      </w:r>
    </w:p>
    <w:p>
      <w:r>
        <w:rPr>
          <w:color w:val="555555"/>
          <w:sz w:val="18"/>
        </w:rPr>
        <w:t xml:space="preserve">Staatsvertrag über die Errichtung gemeinsamer Fachobergerichte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Es werden folgende gemeinsame Fachobergerichte errichtet:</w:t>
      </w:r>
    </w:p>
    <w:p>
      <w:r>
        <w:t xml:space="preserve">zum 1. Juli 2005 ein gemeinsames Oberverwaltungsgericht mit der Bezeichnung „Oberverwaltungsgericht Berlin-Brandenburg“ und Sitz in Berlin,</w:t>
      </w:r>
    </w:p>
    <w:p>
      <w:r>
        <w:t xml:space="preserve">zum 1. Juli 2005 ein gemeinsames Landessozialgericht mit der Bezeichnung „Landessozialgericht Berlin-Brandenburg“ und Sitz in Potsdam,</w:t>
      </w:r>
    </w:p>
    <w:p>
      <w:r>
        <w:t xml:space="preserve">zum 1. Januar 2007 ein gemeinsames Finanzgericht mit der Bezeichnung „Finanzgericht Berlin-Brandenburg“ und Sitz in Cottbus,</w:t>
      </w:r>
    </w:p>
    <w:p>
      <w:r>
        <w:t xml:space="preserve">zum 1. Januar 2007 ein gemeinsames Landesarbeitsgericht mit der Bezeichnung „Landesarbeitsgericht Berlin-Brandenburg“ und Sitz in Berlin.</w:t>
      </w:r>
    </w:p>
    <w:p>
      <w:r>
        <w:t xml:space="preserve">Werden die Verwaltungs-, Finanz- oder Sozialgerichtsbarkeit ganz oder teilweise vereinigt, bestehen die in Satz 1 genannten Gerichtssitze als Sitze entsprechender Fachsenate fort.</w:t>
      </w:r>
    </w:p>
    <w:p>
      <w:r>
        <w:t xml:space="preserve">(2) Ein gemeinsames Fachobergericht führt ein Siegel mit dem Berliner und dem Brandenburger Landeswappen.</w:t>
      </w:r>
    </w:p>
    <w:p>
      <w:r>
        <w:rPr>
          <w:color w:val="555555"/>
          <w:sz w:val="17"/>
        </w:rPr>
        <w:t xml:space="preserve">Zitiervorschlag: Art 1 VT-ID237647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https://recht.nulegal.eu/gesetze/VT-ID237647/1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