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VT-ID237644 (Brandenburg) — Geltungsdauer, Kündigung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Vertrag wird auf unbestimmte Zeit geschlossen. Er kann von jedem Land durch schriftliche Erklärung gegenüber den übrigen Ländern zum Ende eines Kalenderjahres zum Ablauf des folgenden Kalenderjahres gekündigt werden.</w:t>
      </w:r>
    </w:p>
    <w:p>
      <w:r>
        <w:t xml:space="preserve">(2) Durch das Ausscheiden eines Landes wird die Wirksamkeit des Vertrags zwischen den übrigen Ländern nicht berührt. Dies gilt nicht im Fall einer Kündigung durch das Land Hessen.</w:t>
      </w:r>
    </w:p>
    <w:p>
      <w:r>
        <w:rPr>
          <w:color w:val="555555"/>
          <w:sz w:val="17"/>
        </w:rPr>
        <w:t xml:space="preserve">Zitiervorschlag: Art 8 VT-ID237644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https://recht.nulegal.eu/gesetze/VT-ID237644/8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