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VT-ID237644 (Brandenburg) — Weitere Einsatzzwecke</w:t>
      </w:r>
    </w:p>
    <w:p>
      <w:r>
        <w:rPr>
          <w:color w:val="555555"/>
          <w:sz w:val="18"/>
        </w:rPr>
        <w:t xml:space="preserve">Staatsvertrag über die Einrichtung einer Gemeinsamen elektronischen Überwachungsstelle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Jedes Land kann der GÜL durch gesonderte Vereinbarung mit dem Land Hessen Aufgaben der elektronischen Überwachung des Aufenthaltsorts von Personen auch zu anderen Zwecken übertragen, insbesondere</w:t>
      </w:r>
    </w:p>
    <w:p>
      <w:r>
        <w:t xml:space="preserve">bei Außervollzugsetzung eines Haftbefehls,</w:t>
      </w:r>
    </w:p>
    <w:p>
      <w:r>
        <w:t xml:space="preserve">im Rahmen einer Bewährungsweisung,</w:t>
      </w:r>
    </w:p>
    <w:p>
      <w:r>
        <w:t xml:space="preserve">bei Gnadenerweisen,</w:t>
      </w:r>
    </w:p>
    <w:p>
      <w:r>
        <w:t xml:space="preserve">zur Vermeidung der Vollstreckung von kurzen Freiheitsstrafen oder von Ersatzfreiheitsstrafen,</w:t>
      </w:r>
    </w:p>
    <w:p>
      <w:r>
        <w:t xml:space="preserve">zur Überwachung vollzugsöffnender Maßnahmen oder</w:t>
      </w:r>
    </w:p>
    <w:p>
      <w:r>
        <w:t xml:space="preserve">im Rahmen der Führungsaufsicht in Fällen, die von § 68 b Absatz 1 Satz 1 Nummer 12 des Strafgesetzbuchs nicht umfasst sind.</w:t>
      </w:r>
    </w:p>
    <w:p>
      <w:r>
        <w:rPr>
          <w:color w:val="555555"/>
          <w:sz w:val="17"/>
        </w:rPr>
        <w:t xml:space="preserve">Zitiervorschlag: Art 4 VT-ID237644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https://recht.nulegal.eu/gesetze/VT-ID237644/4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