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VT-ID237638 (Brandenburg) — Schlußbestimmung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Organe der Stiftung sind innerhalb von drei Monaten nach Inkrafttreten des Staatsvertrages zu bilden.</w:t>
      </w:r>
    </w:p>
    <w:p>
      <w:r>
        <w:t xml:space="preserve">(2) Bis sie handlungsfähig sind, wird die Funktion des Generaldirektors durch den Generaldirektor der Stiftung Schlösser und Gärten Potsdam-Sanssouci wahrgenommen. Die Funktion des Stiftungsrates wird gemeinsam von den für kulturelle Angelegenheiten zuständigen obersten Landesbehörden der vertragschließenden Länder wahrgenommen.</w:t>
      </w:r>
    </w:p>
    <w:p>
      <w:r>
        <w:rPr>
          <w:color w:val="555555"/>
          <w:sz w:val="17"/>
        </w:rPr>
        <w:t xml:space="preserve">Zitiervorschlag: Art 14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