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VT-ID237638 (Brandenburg) — Haushalt</w:t>
      </w:r>
    </w:p>
    <w:p>
      <w:r>
        <w:rPr>
          <w:color w:val="555555"/>
          <w:sz w:val="18"/>
        </w:rPr>
        <w:t xml:space="preserve">Staatsvertrag über die Errichtung einer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Haushalts-, Kassen- und Rechnungswesen sowie für die Rechnungslegung der Stiftung und die Rechnungsprüfung bei der Stiftung finden die für die Verwaltung des Sitzlandes geltenden Bestimmungen entsprechende Anwendung; zuständiger Rechnungshof ist der des Sitzlandes. Er unterrichtet den Bundesrechnungshof und den Rechnungshof von Berlin, deren Rechte nach § 91 der jeweiligen Haushaltsordnungen unberührt bleiben. Der Rechnungshof des Sitzlandes soll insbesondere bei den in Berlin gelegenen Schlössern und Gärten mit dem Rechnungshof von Berlin zusammenarbeiten.</w:t>
      </w:r>
    </w:p>
    <w:p>
      <w:r>
        <w:t xml:space="preserve">(2) Der Haushaltsplan der Stiftung ist alljährlich rechtzeitig vor Beginn des Haushaltsjahres von dem Generaldirektor im Entwurf aufzustellen und vom Stiftungsrat festzustellen. Er bedarf der Genehmigung der Aufsichtsbehörde; Artikel 4 Abs. 1 Satz 2 gilt entsprechend.</w:t>
      </w:r>
    </w:p>
    <w:p>
      <w:r>
        <w:rPr>
          <w:color w:val="555555"/>
          <w:sz w:val="17"/>
        </w:rPr>
        <w:t xml:space="preserve">Zitiervorschlag: Art 11 VT-ID237638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https://recht.nulegal.eu/gesetze/VT-ID237638/11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