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VT-ID237631 (Brandenburg) — Übergang von Rechten und Pflichten</w:t>
      </w:r>
    </w:p>
    <w:p>
      <w:r>
        <w:rPr>
          <w:color w:val="555555"/>
          <w:sz w:val="18"/>
        </w:rPr>
        <w:t xml:space="preserve">Staatsvertrag über die Auflösung der von Berlin und Brandenburg getragenen Akademie der Künste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In-Kraft-Treten dieses Staatsvertrages gehen alle Rechte und Pflichten der von den Ländern Berlin und Brandenburg getragenen Akademie der Künste, einschließlich des Sondervermögens „Stiftung Archiv der Akademie der Künste“, auf die bundesunmittelbare Körperschaft Akademie der Künste als Gesamtrechtsnachfolgerin über, soweit in den Artikeln 3 und 4 nichts anderes bestimmt ist.</w:t>
      </w:r>
    </w:p>
    <w:p>
      <w:r>
        <w:rPr>
          <w:color w:val="555555"/>
          <w:sz w:val="17"/>
        </w:rPr>
        <w:t xml:space="preserve">Zitiervorschlag: Art 2 VT-ID237631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