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VT-ID237629 (Brandenburg)</w:t>
      </w:r>
    </w:p>
    <w:p>
      <w:r>
        <w:rPr>
          <w:color w:val="555555"/>
          <w:sz w:val="18"/>
        </w:rPr>
        <w:t xml:space="preserve">Staatsvertrag zwischen den Ländern Brandenburg und Mecklenburg-Vorpommern über die Änderung der gemeinsamen Landesgrenze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Gemeinden Besandten, Eldenburg, Lanz, Lenzen, Mellen und Wootz werden in den bestehenden Gemeinde- und Gemarkungsgrenzen aus dem Land Mecklenburg-Vorpommern ausgegliedert und in das Land Brandenburg eingegliedert.</w:t>
      </w:r>
    </w:p>
    <w:p>
      <w:r>
        <w:t xml:space="preserve">(2) Die Gemeinden Dambeck und Brunow sowie die Ortsteile Pampin und Platschow der Gemeinde Berge werden in den bestehenden Gemeinde- und Gemarkungsgrenzen aus dem Land Brandenburg ausgegliedert und in das Land Mecklenburg-Vorpommern eingegliedert.</w:t>
      </w:r>
    </w:p>
    <w:p>
      <w:r>
        <w:t xml:space="preserve">(3) Die Gemeinden Bagemühl, Grünberg, Nechlin, Woddow, Wollschow-Menkin und die Stadt Brüssow des Landkreises Pasewalk sowie die Gemeinden Fahrenholz, Güterberg, Jagow, Lemmersdorf, Lübbenow, Milow, Trebenow, Wilsickow, Wismar und Wolfshagen des Landkreises Strasburg werden in den bestehenden Gemeinde- und Gemarkungsgrenzen aus dem Land Mecklenburg-Vorpommern ausgegliedert und in das Land Brandenburg eingegliedert.</w:t>
      </w:r>
    </w:p>
    <w:p>
      <w:r>
        <w:t xml:space="preserve">(4) Die aus der Umgliederung sich ergebenden Grenzänderungen sind in der Anlage 1 graphisch dargestellt. Die Anlage ist Bestandteil dieses Vertrages. Die Festlegung der endgültigen Grenze erfolgt durch eine gemeinsame Grenzkommission der vertragschließenden Länder.</w:t>
      </w:r>
    </w:p>
    <w:p>
      <w:r>
        <w:rPr>
          <w:color w:val="555555"/>
          <w:sz w:val="17"/>
        </w:rPr>
        <w:t xml:space="preserve">Zitiervorschlag: Art 1 VT-ID237629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https://recht.nulegal.eu/gesetze/VT-ID237629/1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