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VT-ID237628 (Brandenburg) — Veranstalter</w:t>
      </w:r>
    </w:p>
    <w:p>
      <w:r>
        <w:rPr>
          <w:color w:val="555555"/>
          <w:sz w:val="18"/>
        </w:rPr>
        <w:t xml:space="preserve">Staatsvertrag zum Lotteriewesen in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Erlaubnis darf nur erteilt werden, wenn der Veranstalter</w:t>
      </w:r>
    </w:p>
    <w:p>
      <w:r>
        <w:t xml:space="preserve">die Voraussetzungen des § 5 Absatz 1 Nr. 9 des Körperschaftsteuergesetzes erfüllt und</w:t>
      </w:r>
    </w:p>
    <w:p>
      <w:r>
        <w:t xml:space="preserve">zuverlässig ist, insbesondere die Gewähr dafür bietet, dass die Veranstaltung ordnungsgemäß und für die Spielteilnehmer sowie die Erlaubnisbehörde nachvollziehbar durchgeführt und der Reinertrag zweckentsprechend verwendet wird.</w:t>
      </w:r>
    </w:p>
    <w:p>
      <w:r>
        <w:t xml:space="preserve">Satz 1 Nummer 1 gilt nicht für die von der Körperschaft des öffentlichen Rechts „Bayerisches Rotes Kreuz“ veranstalteten Lotterien und für Veranstaltungen in der Form des Gewinnsparens.</w:t>
      </w:r>
    </w:p>
    <w:p>
      <w:r>
        <w:t xml:space="preserve">(2) Soll die Veranstaltung ganz oder überwiegend von einem Dritten durchgeführt werden, darf unbeschadet des § 5 Absatz 3 die Erlaubnis nur erteilt werden, wenn nicht die Gefahr besteht, dass durch die Durchführung die Transparenz und Kontrollierbarkeit der Veranstaltung beeinträchtigt wird und der Dritte</w:t>
      </w:r>
    </w:p>
    <w:p>
      <w:r>
        <w:t xml:space="preserve">die Anforderungen des Absatzes 1 Nr. 2 erfüllt,</w:t>
      </w:r>
    </w:p>
    <w:p>
      <w:r>
        <w:t xml:space="preserve">hinsichtlich der Durchführung der Veranstaltung den Weisungen des Veranstalters unterliegt und keinen maßgeblichen rechtlichen oder tatsächlichen Einfluss auf den Veranstalter hat,</w:t>
      </w:r>
    </w:p>
    <w:p>
      <w:r>
        <w:t xml:space="preserve">seinen Sitz oder Wohnsitz in der Bundesrepublik Deutschland hat.</w:t>
      </w:r>
    </w:p>
    <w:p>
      <w:r>
        <w:t xml:space="preserve">Abweichend von Satz 1 Nr. 3 ist für Dritte aus einem Mitgliedsstaat der Europäischen Union eine inländische Niederlassung ausreichend.</w:t>
      </w:r>
    </w:p>
    <w:p>
      <w:r>
        <w:rPr>
          <w:color w:val="555555"/>
          <w:sz w:val="17"/>
        </w:rPr>
        <w:t xml:space="preserve">Zitiervorschlag: § 8 VT-ID237628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